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2002 11 vom 29. Januar 2003</w:t>
      </w:r>
    </w:p>
    <w:p>
      <w:r>
        <w:t>GR Gerichte, 2003-01-29, DE</w:t>
      </w:r>
    </w:p>
    <w:p>
      <w:r>
        <w:rPr>
          <w:b/>
        </w:rPr>
        <w:t xml:space="preserve">Quelle: </w:t>
      </w:r>
      <w:r>
        <w:t>https://mcp.opencaselaw.ch/entscheid/gr_gerichte_BK 2002 11</w:t>
      </w:r>
    </w:p>
    <w:p>
      <w:r>
        <w:t>FR: GR_GERICHTE BK 2002 11 du 29 janvier 2003</w:t>
      </w:r>
    </w:p>
    <w:p>
      <w:r>
        <w:t>IT: GR_GERICHTE BK 2002 11 del 29 gennaio 2003</w:t>
      </w:r>
    </w:p>
    <w:p>
      <w:pPr>
        <w:pStyle w:val="Heading2"/>
      </w:pPr>
      <w:r>
        <w:t>Regeste</w:t>
      </w:r>
    </w:p>
    <w:p>
      <w:r>
        <w:t>Rechtshilfe | Leitentscheid, publiziert als PKG 2003 26\x3Cbr\x3E | StA Übrige Fälle</w:t>
      </w:r>
    </w:p>
    <w:p>
      <w:pPr>
        <w:pStyle w:val="Heading2"/>
      </w:pPr>
      <w:r>
        <w:t>Erwägungen</w:t>
      </w:r>
    </w:p>
    <w:p>
      <w:r>
        <w:rPr>
          <w:b/>
        </w:rPr>
        <w:t>E. 1</w:t>
      </w:r>
    </w:p>
    <w:p>
      <w:r>
        <w:t>Auf Ersuchen des Rechtsvertreters der drei auf Grund eines Rechtshilfe- verfahrens der Staatsanwaltschaft M. in einem Strafverfahren wegen Verdachts auf Steuerhinterziehung gegen H. L. und G. N. befragten Zeugen A., S. und F. ordnete der Untersuchungsrichter am 20. August 2002 an, es seien sämtliche in den Ge- schäftsräumen der Y. Corporation AG (Y.) an der H. in C., beziehungsweise in den von dieser benutzten Räumlichkeiten der A., Z. &amp; Partner AG beschlagnahmten Ak- ten zu versiegeln. Am 29. August 2002 nahm der Beschwerdeführer Einsicht in die versiegelten Unterlagen und am 3. September 2002 erliess der Untersuchungsrich- ter die heute angefochtene Verfügung, wonach die beschlagnahmten und versie- gelten Unterlagen nach unbenutztem Ablauf der Rechtsmittelfrist entsiegelt würden. Es wurde darauf hingewiesen, dass die bündnerische Strafprozessordnung das In- stitut der Siegelung, beziehungsweise der Entsiegelung nicht ausdrücklich er- wähne, doch lasse sie die Praxis zu, wenn sich der Betroffene einer Durchsicht der beschlagnahmten Unterlagen widersetze und Geheimhaltungsinteressen geltend mache. Dabei schliesse das Bundesrecht nicht aus, dass ein Untersuchungsrichter über diese Fragen entscheide. J. S. lässt in seiner Beschwerdeschrift geltend ma- chen, die Geheimhaltungspflicht gelte auch gegenüber der Strafverfolgungsinstanz; über die Entsiegelung habe somit eine richterliche Behörde zu befinden. Die Staats- anwaltschaft hält dem in ihrer Beschwerdeantwort entgegen, es entspreche der kan- tonalen Praxis, dass der Untersuchungsrichter eine Siegelung anordne und in der Folge auch über die Entsiegelung erstinstanzlich entscheide. Das Bundesgericht habe im Entscheid 121 II 247 dieses Vorgehen geschützt und festgehalten, dass ihm Bundesrecht nicht entgegenstehe. Der Beschwerdeführer führt in seiner Replik dazu aus, die Staatsanwaltschaft verkenne, dass er sich nicht in grundsätzlicher Weise gegen die Zuständigkeit des Untersuchungsrichters zum Erlass einer Entsie- gelungsverfügung wehre, doch sei diese Kompetenzordnung nur unter der doppel- ten Voraussetzung rechtens, dass der Untersuchungsrichter die versiegelten Unter- lagen zur Entscheidfindung nicht sichten dürfe, und dass der Rechtsmittelweg an eine gerichtliche Instanz offen stehe. Kenntnis vom Inhalt der beschlagnahmten Un- terlagen sei aber für die Entscheidfindung über den Bestand eines Editionsverwei- gerungsrechts oft unumgänglich. Dem Untersuchungsrichter stehe also auch im Kanton Graubünden keine wirkliche Entscheidkompetenz in Entsiegelungsfragen zu, weil er die Frage, ob die Voraussetzungen für die Aufrechterhaltung des Siegels gegeben seien, mangels Einsicht in die Akten gar nicht beantworten könne. Die angefochtene Entsiegelungsverfügung stelle daher nichts anderes als eine Über- weisung der Streitsache zum Entscheid an das Gericht dar, welches de facto erst-</w:t>
      </w:r>
    </w:p>
    <w:p>
      <w:r>
        <w:t>8 instanzlich entscheide. Die Staatsanwaltschaft bezeichnet in ihrer Duplik beide vom Beschwerdeführer erwähnten Voraussetzungen zum Erlass einer Entsiegelungs- verfügung als erfüllt. Der Untersuchungsrichter habe die versiegelten Akten nicht gesichtet und dem Beschwerdeführer sei die Beschwerdemöglichkeit an die Be- schwerdekammer des Kantonsgerichts eingeräumt worden.</w:t>
      </w:r>
    </w:p>
    <w:p>
      <w:r>
        <w:rPr>
          <w:b/>
        </w:rPr>
        <w:t>E. 2</w:t>
      </w:r>
    </w:p>
    <w:p>
      <w:r>
        <w:t>Wie die Staatsanwaltschaft bereits in der angefochtenen Verfügung fest- stellte, regelt die Strafprozessordnung des Kantons Graubünden die Siegelung und die Entsiegelung nicht ausdrücklich. Es ist jedoch eine Selbstverständlichkeit, dass dieses Institut auch im bündnerischen Strafverfahren seinen Platz hat; es wird denn auch bereits im Kommentar zur StPO (mit Dienstanweisungen) vom 2. Januar 1981 des damaligen Staatsanwaltes Dr. Willy Padrutt ausdrücklich erwähnt (S. 150 f.). Völlig unproblematisch mit Bezug auf die Zuständigkeit ist die Siegelung. Sie wird im Laufe eines Strafverfahrens auf Verlangen des von einer Beschlagnahme Be- troffenen als gewöhnliche Untersuchungshandlung vom Untersuchungsrichter an- geordnet, wenn Geheimhaltungsinteressen sie gebieten. Irgendwelcher Geheimnis- schutz, der nach einer anderen Zuständigkeit rufen würde, ist nicht ersichtlich. Die entsprechende Frage kann sich erst bei der Entsiegelung stellen; bei dieser kann es für den Betroffenen von Interesse sein, dass gewisse in den beschlagnahmten Dokumenten enthaltene Fakten nicht Unbefugten zur Kenntnis gelangen. Dieses Interesse bildet jedoch gestützt auf die kantonale Strafprozessordnung keinen Grund, dass der Untersuchungsrichter nicht auch für die Entsiegelung zuständig sein sollte. Als richterliche Behörden fielen hierfür einzig die Beschwerdekammer und der Kantonsgerichtsausschuss in Betracht. Die Beschwerdekammer ist jedoch ausschliesslich und der Kantonsgerichtsausschuss mit wenigen Ausnahmen ledig- lich Rechtsmittelinstanz, wobei die erstere zudem in aller Regel rein kassatorische Funktionen ausübt. Die Begründung der Zuständigkeit einer dieser beiden Gerichts- instanzen für eine Entsiegelungsverfügung widerspräche demnach klar der gelten- den Strafprozessordnung über deren Zuständigkeit. Die Möglichkeit zur richterli- chen Überprüfung ist dennoch gewährleistet. Erlässt der Untersuchungsrichter eine vom Staatsanwalt genehmigte Entsiegelungsverfügung, steht dem Betroffenen da- gegen die Beschwerde an die Beschwerdekammer offen. Damit wird dem Rechts- schutzbedürfnis hinreichend Rechnung getragen. Von einer Zuweisung der Kompe- tenz zum Erlass von Entsiegelungsverfügungen an die Beschwerdekammer oder den Kantonsgerichtsausschuss ist daher abzusehen.</w:t>
      </w:r>
    </w:p>
    <w:p>
      <w:r>
        <w:rPr>
          <w:b/>
        </w:rPr>
        <w:t>E. 3</w:t>
      </w:r>
    </w:p>
    <w:p>
      <w:r>
        <w:t>Im zu beurteilenden Fall wurde dem Beschwerdeführer anlässlich seiner Befragung als Zeuge wegen seiner Stellung als Revisor der U. M. &amp; F. C. AG durch</w:t>
      </w:r>
    </w:p>
    <w:p>
      <w:r>
        <w:t>9 den Untersuchungsrichter das Recht auf Zeugnisverweigerung zugestanden. Da sich nach Art. 9 IRSG der Schutz des Geheimbereichs bei der Ausführung von Rechtshilfeersuchen nach den Bestimmungen über das Zeugnisverweigerungs- recht richtet, müsste die Frage der Entsiegelung grundsätzlich nach den nämlichen Kriterien entschieden werden. Nun wendet der Staatsanwalt allerdings ein, der Un- tersuchungsrichter habe dem Beschwerdeführer zu Unrecht das Zeugnisverweige- rungsrecht gewährt. Die Auffassung von Padrutt (Kommentar zur Strafprozessord- nung des Kantons Graubünden, 2. Auflage, Chur 1996, S. 225), auf die sich der Untersuchungsrichter gestützt habe, wonach allen in Art. 321 StGB aufgeführten Personen ein Zeugnisverweigerungsrecht zustehe, entspreche nicht mehr der ak- tuellsten Rechtsprechung des Bundesgerichts. Dieses habe in einem Entscheid vom 31. Januar 1996 in Auslegung von Art. 321 StGB festgehalten, dass sich die in dieser Bestimmung genannten Personen nur dann auf ein Zeugnisverweigerungs- recht berufen könnten, wenn die kantonale Strafprozessordnung dies ausdrücklich vorsehe (Pr 85 [1996] S. 751 ff., S. 757 E. 3e). Dies sei aber im Kanton Graubünden gerade nicht der Fall. In der Tat erwähnt Art. 90 Abs. 3 StPO lediglich Geistliche, Ärzte, Anwälte sowie Notare und ihre Hilfspersonen als Berufsleute, welche Mittei- lungen von Tatsachen, die ihnen in ihrer Amts- oder Berufsstellung anvertraut wor- den sind, verweigern können. Das kantonale Recht, das nach dem jüngsten Ent- scheid des Bundesgerichtes für die Beantwortung der Frage, ob einer bestimmten Berufsgruppe ein Zeugnisverweigerungsrecht zusteht, massgebend ist, räumt die- ses Recht – wie übrigens auch Art. 77 BStrP - also gerade den hier zur Diskussion stehenden Revisoren nicht ein. Es trifft zwar zu, dass es Autoren gibt – so der schon zitierte Padrutt sowie Trechsel (Kurzkommentar zum StGB, 2. Auflage, Zürich 1997, Rz. 35 zu Art. 321 StGB) -, welche sich auch zu Gunsten des Zeugnisverweige- rungsrechts dieser Personen aussprechen. Sie befinden sich mit ihrer Auffassung aber in der Minderheit und stehen insbesondere im Widerspruch zu der für die Be- schwerdekammer massgeblichen Rechtsprechung des Bundesgerichts. Es kann daher an der vom Untersuchungsrichter anlässlich der Zeugenbefragung vertrete- nen Auffassung nicht festgehalten werden, sondern es ist vielmehr festzuhalten, dass Revisoren im bündnerischen Strafprozess kein Zeugnisverweigerungsrecht zusteht. Mit dieser Feststellung ist aber das Schicksal der Beschwerde besiegelt. War J. S. grundsätzlich bereits zur Zeugenaussage verpflichtet, kann er sich auch nicht der Entsiegelung der bei ihm beschlagnahmten Unterlagen entgegensetzen.</w:t>
      </w:r>
    </w:p>
    <w:p>
      <w:r>
        <w:rPr>
          <w:b/>
        </w:rPr>
        <w:t>E. 4</w:t>
      </w:r>
    </w:p>
    <w:p>
      <w:r>
        <w:t>Der Beschwerdeführer rügt, anlässlich der Hausdurchsuchung vom 16. August 2002 seien entgegen dem Beschluss des Untersuchungsrichters vom 15. August 2002, nach welchem die Hausdurchsuchung auf die Geschäftsräume der Y.</w:t>
      </w:r>
    </w:p>
    <w:p>
      <w:r>
        <w:t>10 Corporation AG (Y.) beschränkt gewesen sei, auch seine Räumlichkeiten durch- sucht und in seinem Büro drei Bundesordner und in seinem Archiv die Revisionsak- ten 1995 bis 31. Dezember 1998 beschlagnahmt worden. Die Durchsuchung seines Büros und seines Archivs sei aber durch den Hausdurchsuchungs- und Beschlag- nahmebeschluss nicht abgedeckt gewesen und es hätten folglich sich in seinen Händen befindliche Unterlagen nicht beschlagnahmt werden dürfen. Wie es sich damit verhält, braucht im vorliegenden Verfahren nicht untersucht zu werden. Ge- genstand der Beschwerde ist allein die Entsiegelungsverfügung vom 3. September 2002. Der Beschwerdeführer hat von der ihm im Hausdurchsuchungsbefehl ein- geräumten Möglichkeit, bei der Staatsanwaltschaft Beschwerde zu führen, keinen Gebrauch gemacht. Die Hausdurchsuchung und die Beschlagnahme selbst stehen folglich im heutigen Beschwerdeverfahren nicht zur Diskussion, so dass sich die Beschwerdekammer damit nicht zu befassen hat. Es ist aber doch darauf hinzuwei- sen, dass auf Ersuchen des Rechtsvertreters des Beschwerdeführers die beschlag- nahmten Akten versiegelt und verschiedene Gesellschaftsakten, welche mit dem laufenden Rechtshilfeverfahren in keinem Zusammenhang stehen, erstattet wur- den. Im Übrigen teilt die Beschwerdekammer die vom Staatsanwalt in seiner Ver- nehmlassung vom 1. Oktober 2002 vertretene Auffassung, dass angesichts der Tat- sache, dass die Y. über gar keine eigenen Geschäftsräumen verfügt, sondern deren Geschäfte in den Räumlichkeiten der A., Z. &amp; Partner AG geführt werden und dass der Beschwerdeführer ein Doppelmandat als Verwaltungsrat und Mitarbeiter dieser Treuhandunternehmung und als aktienrechtlicher Revisor der Y. ausübt, die örtliche Abgrenzung der Revisionsstelle der Y. zu deren mit jenen der A., Z. &amp; Partner AG identischen Geschäftsräumlichkeiten fliessend und unklar ist, so dass der Begriff der Geschäftsräumlichkeiten der Y. entsprechend weit auszulegen war. Müsste auf die sich auf die Hausdurchsuchung beziehenden Rügen des Beschwerdeführers eingegangen werden, würden sich diese damit als unbegründet erweisen.</w:t>
      </w:r>
    </w:p>
    <w:p>
      <w:r>
        <w:rPr>
          <w:b/>
        </w:rPr>
        <w:t>E. 5</w:t>
      </w:r>
    </w:p>
    <w:p>
      <w:r>
        <w:t>Die Beschwerde ist somit als unbegründet abzuweisen. Bei diesem Aus- gang gehen die Kosten des Beschwerdeverfahrens zu Lasten des Beschwerdefüh- rers (Art. 160 Abs. 1 StPO).</w:t>
      </w:r>
    </w:p>
    <w:p>
      <w:r>
        <w:t>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